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правонарушении, предусмотренное ч. 1 ст. 20.25 КоАП РФ,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Фоминцева Юрия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6"/>
          <w:szCs w:val="26"/>
        </w:rPr>
        <w:t>99 23 124138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образом, не явился; о причинах неявки суду не сообщил; ходатайство об отложении дела не направил.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75 ЗК №050874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03.11.2023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Style w:val="cat-UserDefinedgrp-3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Фоминцев Ю.С. не исполняет обязанности по у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Фоминцевым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Фоминцева Ю.С.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Фоминцеву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Фоминцева Юрия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4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04123654004050</w:t>
      </w:r>
      <w:r>
        <w:rPr>
          <w:rFonts w:ascii="Times New Roman" w:eastAsia="Times New Roman" w:hAnsi="Times New Roman" w:cs="Times New Roman"/>
          <w:sz w:val="26"/>
          <w:szCs w:val="26"/>
        </w:rPr>
        <w:t>02382420173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OrganizationNamegrp-27rplc-48">
    <w:name w:val="cat-OrganizationName grp-27 rplc-48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7">
    <w:name w:val="cat-UserDefined grp-3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