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5E4D" w:rsidP="00FE5E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FE5E4D" w:rsidRPr="00C851FC" w:rsidP="00634BE6">
      <w:pPr>
        <w:tabs>
          <w:tab w:val="left" w:pos="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634BE6"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86MS0053-01-2025-001932-38</w:t>
      </w:r>
    </w:p>
    <w:p w:rsidR="00FE5E4D" w:rsidP="00FE5E4D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5E4D" w:rsidRPr="004C1765" w:rsidP="00FE5E4D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FE5E4D" w:rsidRPr="004C1765" w:rsidP="00FE5E4D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FE5E4D" w:rsidRPr="00C851FC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5E4D" w:rsidRPr="00C851FC" w:rsidP="00FE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FE5E4D" w:rsidRPr="00C851FC" w:rsidP="00FE5E4D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ровой судья судебного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 №2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Колосова Е.С., </w:t>
      </w:r>
    </w:p>
    <w:p w:rsidR="0031399A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Чеснокова Алексея Александровича, </w:t>
      </w:r>
      <w:r w:rsidR="0011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11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11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работающего </w:t>
      </w:r>
      <w:r w:rsidR="0011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1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FE5E4D" w:rsidRPr="00C851FC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соверше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правонарушения, предусмотренного частью 1 статьи 20.35 Кодекса Российской Федерации об административных правонарушениях, </w:t>
      </w:r>
    </w:p>
    <w:p w:rsidR="00FE5E4D" w:rsidP="00FE5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FE5E4D" w:rsidRPr="00C851FC" w:rsidP="00FE5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5CC8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03.12.2024 специалист по безопасности МАОУ «СОШ №6 им.А.И.Гордиенко» Чесноков А.А., находясь по адресу: г.Нягань, 2 мк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р., д.31, допустил совершение административного правонарушения – нарушение </w:t>
      </w:r>
      <w:r w:rsidR="00B84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к антитеррористической защищенности объектов (территорий), а именно: вопреки Требованиям, утвержденным Постановлением Правительства Российской Федерации от 02.08.2019 №1006, до настоящего времени паспорт безопасности после ввода системы оповещения не актуализирован</w:t>
      </w:r>
      <w:r w:rsidR="004F1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действия не содержат признаков уголовно наказуемого деяния.</w:t>
      </w:r>
    </w:p>
    <w:p w:rsidR="00AA1BF6" w:rsidP="00FE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Pr="00E11567" w:rsidR="00FE5E4D">
        <w:rPr>
          <w:rFonts w:ascii="Times New Roman" w:hAnsi="Times New Roman" w:cs="Times New Roman"/>
          <w:sz w:val="28"/>
          <w:szCs w:val="28"/>
        </w:rPr>
        <w:t xml:space="preserve"> прокурора г. Нягани </w:t>
      </w:r>
      <w:r w:rsidR="0011635F">
        <w:rPr>
          <w:rFonts w:ascii="Times New Roman" w:hAnsi="Times New Roman" w:cs="Times New Roman"/>
          <w:sz w:val="28"/>
          <w:szCs w:val="28"/>
        </w:rPr>
        <w:t>*</w:t>
      </w:r>
      <w:r w:rsidR="00C96792">
        <w:rPr>
          <w:rFonts w:ascii="Times New Roman" w:hAnsi="Times New Roman" w:cs="Times New Roman"/>
          <w:sz w:val="28"/>
          <w:szCs w:val="28"/>
        </w:rPr>
        <w:t xml:space="preserve">Ю.В. </w:t>
      </w:r>
      <w:r w:rsidRPr="00E11567" w:rsidR="00FE5E4D">
        <w:rPr>
          <w:rFonts w:ascii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поддержала доводы, изложенные в постановлении о возбуждении производства по делу об административном правонарушении. Просила привлечь </w:t>
      </w:r>
      <w:r>
        <w:rPr>
          <w:rFonts w:ascii="Times New Roman" w:hAnsi="Times New Roman" w:cs="Times New Roman"/>
          <w:sz w:val="28"/>
          <w:szCs w:val="28"/>
        </w:rPr>
        <w:t>Чеснокова А.А.</w:t>
      </w:r>
      <w:r w:rsidRPr="00E11567" w:rsidR="00FE5E4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частью 1 статьи </w:t>
      </w:r>
      <w:r w:rsidR="00FE5E4D">
        <w:rPr>
          <w:rFonts w:ascii="Times New Roman" w:hAnsi="Times New Roman" w:cs="Times New Roman"/>
          <w:sz w:val="28"/>
          <w:szCs w:val="28"/>
        </w:rPr>
        <w:t>20.35</w:t>
      </w:r>
      <w:r w:rsidRPr="00E11567" w:rsidR="00FE5E4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FE5E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пояснила, что в нарушение Требований в п.48 раздела 6 до настоящего времени паспорт безопасности после ввода системы оповещения не актуализирован, при этом рекомендац</w:t>
      </w:r>
      <w:r>
        <w:rPr>
          <w:rFonts w:ascii="Times New Roman" w:hAnsi="Times New Roman" w:cs="Times New Roman"/>
          <w:sz w:val="28"/>
          <w:szCs w:val="28"/>
        </w:rPr>
        <w:t>ии, установленные самим образовательным учреждением согласно акту внеплановой проверки состояния защищенности от угроз от 20.09.2024, где указано, что категорирование не проводить, паспорт безопасности признать не нуждающимся в замене, не соответствуют тре</w:t>
      </w:r>
      <w:r>
        <w:rPr>
          <w:rFonts w:ascii="Times New Roman" w:hAnsi="Times New Roman" w:cs="Times New Roman"/>
          <w:sz w:val="28"/>
          <w:szCs w:val="28"/>
        </w:rPr>
        <w:t>бованиям закона.</w:t>
      </w:r>
    </w:p>
    <w:p w:rsidR="00AA1BF6" w:rsidP="00FE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E4D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Чесноков А.А. в судебном заседании с протоколом не согласился, вину не признал, </w:t>
      </w:r>
      <w:r w:rsidR="00A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подтвердил доводы в письменных объяснениях, содержащихся в материалах дела,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пояснил, что после ввода системы оповещения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категорирование образовательного учреждения не проводилось, так как изменения характеристик МАОУ «СОШ №6 им.А.И.Гордиенко» не могли повлиять на изменение ранее присвоенной категории опасности, в связи с чем, в 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безопасно</w:t>
      </w:r>
      <w:r w:rsidR="00A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приложены только изменения, полагает, что действовал в рамках действующего законодательства.</w:t>
      </w:r>
    </w:p>
    <w:p w:rsidR="00FE5E4D" w:rsidRPr="00C96792" w:rsidP="00FE5E4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67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Выслушав лиц, участвующих в деле, исследовав материалы дела, мировой судья приходит к следующему.</w:t>
      </w:r>
    </w:p>
    <w:p w:rsidR="00FE5E4D" w:rsidP="00FE5E4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положениям </w:t>
      </w:r>
      <w:r w:rsidRPr="00C967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статьи 2 Федерального закона от </w:t>
      </w:r>
      <w:r w:rsidRPr="00C96792" w:rsidR="00EC55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06.03.2006</w:t>
      </w:r>
      <w:r w:rsidRPr="00C967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35-ФЗ «О противодействии терроризму» (далее – Закона №35-ФЗ) противодействие терроризму в Российской Федерации основывается на таких основных принципах, как обеспечение и защита основных прав и свобод человека и</w:t>
      </w:r>
      <w:r w:rsidRPr="00C967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гражданина; законность;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 приоритет мер предупреждения терроризма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0D8" w:rsidP="003B30D8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статье 1 </w:t>
      </w:r>
      <w:r w:rsidRPr="003B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Закона №35-ФЗ правовую основу противодействия терроризму составляют </w:t>
      </w:r>
      <w:hyperlink r:id="rId4" w:history="1">
        <w:r w:rsidRPr="003B30D8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Конституция</w:t>
        </w:r>
      </w:hyperlink>
      <w:r w:rsidRPr="003B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общепризнанные принципы и нормы международного права, меж</w:t>
      </w:r>
      <w:r w:rsidRPr="003B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</w:t>
      </w:r>
      <w:r w:rsidRPr="003B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ними нормативные правовые акты других федеральных органов государственной власти.</w:t>
      </w:r>
    </w:p>
    <w:p w:rsidR="003A1AE4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противодействием терроризма в силу пункта 4 статьи 3 Закона №35-ФЗ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понимается </w:t>
      </w:r>
      <w:r w:rsidRPr="003A1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органов государственной власти, органов публичной власти федеральных территори</w:t>
      </w:r>
      <w:r w:rsidRPr="003A1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и органов местного самоуправления, а также физических и юридических лиц по: предупреждению терроризма, в том числе по выявлению и последующему устранению причин и условий, способствующих совершению террористических актов 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(профилактика терроризма); миними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и (или) ликвидации последствий проявлений терроризма.</w:t>
      </w:r>
    </w:p>
    <w:p w:rsidR="00EC558F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Частью 3.1 статьи 5 Закона № 35-ФЗ юридические и физические лица обеспечивают выполнение указанных требований в отношении объектов, находящихся в их собственности или принадлежащих им на ином 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законном основании.</w:t>
      </w:r>
    </w:p>
    <w:p w:rsidR="003A1AE4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6 статьи 3 Закона №35-ФЗ предусмотрено, что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террористического акта. При этом под местом массового пребывания людей понимается территория общего пользования федеральной территории, поселения, муниципального округа или городского округа, либо специально отведенная территория за их пределами, либо мес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общего пользования в здании, строении, сооружении, 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ином объекте, на которых при определенных условиях может одновременно находиться более пятидесяти человек.</w:t>
      </w:r>
    </w:p>
    <w:p w:rsidR="003B30D8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</w:t>
      </w:r>
      <w:hyperlink r:id="rId5" w:history="1">
        <w:r w:rsidRPr="00C967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2 части 6 статьи 28</w:t>
        </w:r>
      </w:hyperlink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29.12.2012 №273-ФЗ «Об образовании в Российской Федерации» образовательная организация обязана осуществлять свою деятельность в соответствии с законодательством об образовани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в том числе: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3B30D8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</w:t>
      </w:r>
      <w:hyperlink r:id="rId6" w:history="1">
        <w:r w:rsidRPr="00C967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частями 8</w:t>
        </w:r>
      </w:hyperlink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7" w:history="1">
        <w:r w:rsidRPr="00C967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 пункта 1 статьи 41</w:t>
        </w:r>
      </w:hyperlink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29.12.2012 №273-ФЗ «Об образовании в Российской Федерации» в обязанности образовательной организации входят вопросы, связанные с обеспечением безопасности и здоровья обучающихся на территории образова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организации.</w:t>
      </w:r>
    </w:p>
    <w:p w:rsidR="00D4443F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hyperlink r:id="rId8" w:history="1">
        <w:r w:rsidRPr="00C967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пункту 1</w:t>
        </w:r>
      </w:hyperlink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Правительства Российской Федерации от 02.08.2019 №1006 «Об утверждении требований к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риторий)» (далее - Требования) настоящие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Российской Федерации и объектов (территорий), относящихся к сфере деятельности Министерства просвещения Российской Федерации (далее - объект (территория).</w:t>
      </w:r>
    </w:p>
    <w:p w:rsidR="00D01143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Требования с момента введения их в действие распространяются на объект образования.</w:t>
      </w:r>
    </w:p>
    <w:p w:rsidR="00D672B9" w:rsidRPr="00D672B9" w:rsidP="00D672B9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защищенности объектов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Российской Феде</w:t>
      </w:r>
      <w:r w:rsidRPr="00D67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рации, объектов (территорий) Министерства просвещения.</w:t>
      </w:r>
    </w:p>
    <w:p w:rsidR="009376E7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установления дифференцированных требований к обеспечению антитеррористической защищенности объектов (территорий) с учетом возможных последствий совершения террористического акта проводится кате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горирование объектов (территорий) (пункт 6 Требований).</w:t>
      </w:r>
    </w:p>
    <w:p w:rsidR="009376E7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категорирования объекта (территории) по решению руководителя органа (организации), являющегося правообладателем объекта (территории), создается комиссия по обследованию и категорировани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объекта (территории) (пункт 8 </w:t>
      </w:r>
      <w:r w:rsidRPr="00C96792" w:rsidR="00107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1 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Требований).</w:t>
      </w:r>
    </w:p>
    <w:p w:rsidR="00107237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комиссии осуществляется в срок, не превышающий 30 рабочих дней со дня создания комиссии. В состав комиссии включаются руководитель органа (организации), являющегося правообладателем объекта (тер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ритории), работники органа (организации), являющегося правообладателем объекта (территории), а также представители территориального органа безопасности, территориального органа Федеральной службы войск национальной гвардии Российской Федерации или подразде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вневедомственной охраны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(по согласованию) (пун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кты 9, 10 раздела 1 Требований).</w:t>
      </w:r>
    </w:p>
    <w:p w:rsidR="00107237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пункту 35 раздела 6 Требований внеплановые проверки антитеррористической защищенности объектов (территорий) проводятся на основании приказов (распоряжений) руководителей органов (организаций), являющихся правооблад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ателями объектов (территорий), и (или) вышестоящих органов (организаций), в том числе при необходимости актуализации паспорта безопасности объекта (территории).</w:t>
      </w:r>
    </w:p>
    <w:p w:rsidR="00713DE7" w:rsidRPr="00C96792" w:rsidP="00C96792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каждый объект (территорию) в течение 30 дней после проведения обследования и категорирования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(территории) комиссией составляется паспорт безопасности объекта (территории). Паспорт безопасности объекта (территории) подписывается должностным лицом, осуществляющим непосредственное руководство деятельностью работников на объекте (территории),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согласовывается с руководителем территориального органа безопасности или уполномоченным им лицом, руководителем территориального органа Федеральной службы войск</w:t>
      </w:r>
      <w:r w:rsidRPr="00107237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национальной гвардии Российской Федерации (подразделения вневедомственной охраны войск национа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гвардии Российской Федерации), руководителем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органа (организации),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являющегося правообладателем объекта (территории), или уполномоченным им лицом (пункты 43, 44 раздела 6 Требований).</w:t>
      </w:r>
    </w:p>
    <w:p w:rsidR="00713DE7" w:rsidRPr="00C96792" w:rsidP="00713DE7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Актуализация паспорта безопасности объекта (территории) осуществляется в порядке, предусмотренном для его разработки, не реже одного раза 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5 лет, а также при изменении: а) общей площади и периметра объекта (территории); б) количества критических элементов объекта (территории); в) мер по инженерно-технической защите объекта (территории) (пункт 48 раздела 6 Требований).</w:t>
      </w:r>
    </w:p>
    <w:p w:rsidR="00713DE7" w:rsidRPr="00C96792" w:rsidP="00FE5E4D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материалов дела сле</w:t>
      </w:r>
      <w:r w:rsidRPr="00C9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дует, что приказом директора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№6 им. А.И.Гордиенко» в г.Нягани от 20.09.2024 №807 создана комиссия для ввода в эксплуатацию системы речевого оповещения в образовательном учреждении</w:t>
      </w:r>
      <w:r w:rsidR="00DD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3589" w:rsidP="00FE5E4D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акту от 20.09.2024 №1 в здании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МАОУ «СОШ №6 им.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А.И.Гордиенко», по адресу: г.Нягань, 2 мкр., д.31, установлена и введена в эксплуатацию система речевого оповещения «Рокот-5», предназначенная для трансляции речевой информации и предварительно записанных речевых сообщений для оповещения и управления эваку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ацией,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 В заключении указано, что оборудование установлено, закреплено, исправно,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20.09.2024 введено в эксплуатацию.</w:t>
      </w:r>
    </w:p>
    <w:p w:rsidR="00A2453A" w:rsidP="00A2453A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от </w:t>
      </w:r>
      <w:r w:rsidR="0011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Чесноков А.А. назначен на должность специалиста по безопасности, в его должностные обязанности, в том числе входит обеспечение выполнения мероприятий по комплексной безопасности, антитерр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ористической защищенности обучающихся и работников учреждения в ходе учебного процесса.</w:t>
      </w:r>
    </w:p>
    <w:p w:rsidR="003B4221" w:rsidP="00FE5E4D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приказу школы от 13.09.2024 №787 «О проведении антитеррористической защищенности объектов (территории) МАОУ «СОШ №6 им. А.И.Гордиенко» комиссии по внеплановой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проверке было поручено, в том числе</w:t>
      </w:r>
      <w:r w:rsidR="003C7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актуализировать паспорта безопасности образовательного учреждения, изменения приложить ко всем экземплярам паспорта безопасности объекта с указанием причин и дат их внесения (пункты 6, 43, 48, 49, 50 Постановления).</w:t>
      </w:r>
    </w:p>
    <w:p w:rsidR="004A27F8" w:rsidP="004A27F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дебном заседании Чесноков А.А. пояснил, что после ввода системы оповещения категорирование образовательного учреждения не проводилось, в паспорт безопасности приложены лишь изменения.</w:t>
      </w:r>
    </w:p>
    <w:p w:rsidR="00DD3589" w:rsidP="00FE5E4D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как следует из материалов дела, вопреки требованиям пункта 48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здела 6 Требований до настоящего времени паспорт безопасности после ввода систе</w:t>
      </w:r>
      <w:r w:rsidR="0080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оповещения не актуализирован, о чем отражено в акте обследования на предмет инженерно-технической укрепленности, оснащенности техническими средствами охраны (ТСО), системой видеонаблюдения и обеспечения физической охраной объекта МАОУ «СОШ №6 им. А.И.Гордиенко» от 14.02.2025.</w:t>
      </w:r>
    </w:p>
    <w:p w:rsidR="00A2453A" w:rsidRPr="00D4443F" w:rsidP="00A2453A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w w:val="105"/>
          <w:sz w:val="28"/>
          <w:szCs w:val="28"/>
          <w:lang w:eastAsia="ru-RU"/>
        </w:rPr>
      </w:pP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Невыполнение указанных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объекте образования 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свидетельствует о 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</w:t>
      </w:r>
      <w:r w:rsidRPr="00D4443F">
        <w:rPr>
          <w:rFonts w:ascii="Times New Roman" w:hAnsi="Times New Roman" w:cs="Times New Roman"/>
          <w:w w:val="105"/>
          <w:sz w:val="28"/>
          <w:szCs w:val="28"/>
          <w:lang w:eastAsia="ru-RU"/>
        </w:rPr>
        <w:t>для выполнения мероприяти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>й</w:t>
      </w:r>
      <w:r w:rsidRPr="00D4443F">
        <w:rPr>
          <w:rFonts w:ascii="Times New Roman" w:hAnsi="Times New Roman" w:cs="Times New Roman"/>
          <w:w w:val="105"/>
          <w:sz w:val="28"/>
          <w:szCs w:val="28"/>
          <w:lang w:eastAsia="ru-RU"/>
        </w:rPr>
        <w:t xml:space="preserve">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>росвещения Российской Федерации.</w:t>
      </w:r>
    </w:p>
    <w:p w:rsidR="00FE5E4D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20.35 Кодекса Рос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об административных правонарушениях предусмотрена административная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обязанности по выполнению или обеспечению требований к антитеррористической защищенности объектов 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(территорий), за исключением случаев, предусмотренных частью 2 данной статьи, статьями 11.15.1 и 20.30 данного Кодекса, если эти действия не содержат пр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изнаков уголовно наказуемого деяния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5E4D" w:rsidRPr="00C851FC" w:rsidP="00FE5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должностного лица </w:t>
      </w:r>
      <w:r w:rsidR="00BC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–специалиста по безопасности МАОУ «СОШ №6 им. А.И.Гордиенко» Чеснокова А.А.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правонарушения, предусмотренного частью 1 статьи 20.35 Кодекса Российской Федерации об административных пра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вонарушениях, подтверждается исследованными в ходе рассмотрения материалами дела:</w:t>
      </w:r>
    </w:p>
    <w:p w:rsidR="00FE5E4D" w:rsidP="00FE5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постановлением о возбуждении производства по делу об административном правонарушении от </w:t>
      </w:r>
      <w:r w:rsidR="00BC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02.04.2025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котором указаны время, место и обстоятельства совершенного </w:t>
      </w:r>
      <w:r w:rsidR="00BC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Чесноковым А.А.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постановления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вручена </w:t>
      </w:r>
      <w:r w:rsidR="00BC68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.04.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202</w:t>
      </w:r>
      <w:r w:rsidR="00BC68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5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BC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привлекаемому должностному лицу,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что подтверждается е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подписью в соответствующих графах постановления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684E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письменным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Чеснокова А.А., согласно которым работает в школе с 2017 года, назначен на должность специалиста по безопасности с 01.04.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2024, после ввода системы оповещения категорирование МАОУ «СОШ №6 им. А.И.Гордиенко» не проводилось;</w:t>
      </w:r>
    </w:p>
    <w:p w:rsidR="000168A7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МАОУ «СОШ №6 им. А.И.Гордиенко» от 01.04.2024 №15/лс;</w:t>
      </w:r>
    </w:p>
    <w:p w:rsidR="000168A7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должностной инструкцией специалиста по безопасности, утвержденной директором МАОУ «СОШ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им. А.И.Гордиенко» 01.04.2024;</w:t>
      </w:r>
    </w:p>
    <w:p w:rsidR="000168A7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актом о проведении входного контроля оборудования и материалов от 16.08.2024;</w:t>
      </w:r>
    </w:p>
    <w:p w:rsidR="000168A7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МАОУ «СОШ №6 им. А.И.Гордиенко» от 13.09.2024 №787;</w:t>
      </w:r>
    </w:p>
    <w:p w:rsidR="000168A7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актом внеплановой проверки состояния защищенности от угроз от 20.09.2024,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которому установлена и введена в эксплуатацию система речевого оповещения;</w:t>
      </w:r>
    </w:p>
    <w:p w:rsidR="000168A7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от </w:t>
      </w:r>
      <w:r w:rsidR="0011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создании комиссии для ввода в эксплуатацию системы речевого оповещения в МАОУ «СОШ №6 им. А.И.Гордиенко»;</w:t>
      </w:r>
    </w:p>
    <w:p w:rsidR="000168A7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актом №1 от 20.09.2024 о вводе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эксплуатацию системы оповещения;</w:t>
      </w:r>
    </w:p>
    <w:p w:rsidR="000168A7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актом обследования от 14.02.2025, в соответствии с которым паспорт безопасности после ввода системы оповещения не актуализирован.</w:t>
      </w:r>
    </w:p>
    <w:p w:rsidR="009A4FC2" w:rsidRPr="009A4FC2" w:rsidP="009A4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статьи 20.35 Кодекса Российской Федерации об административных правонаруше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ниях</w:t>
      </w:r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арушение </w:t>
      </w:r>
      <w:hyperlink r:id="rId9" w:history="1">
        <w:r w:rsidRPr="009A4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требований</w:t>
        </w:r>
      </w:hyperlink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</w:t>
      </w:r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10" w:history="1">
        <w:r w:rsidRPr="009A4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настоящей статьи, </w:t>
      </w:r>
      <w:hyperlink r:id="rId11" w:history="1">
        <w:r w:rsidRPr="009A4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статьями 11.15.1</w:t>
        </w:r>
      </w:hyperlink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Pr="009A4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20.30</w:t>
        </w:r>
      </w:hyperlink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Кодекса, если эти действия не содержат признаков уголовно наказуемого деяния, -влечет наложение административного штрафа на </w:t>
      </w:r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в размере от трех тысяч до пяти тысяч рублей; на должностных </w:t>
      </w:r>
      <w:r w:rsidRPr="009A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 </w:t>
      </w:r>
    </w:p>
    <w:p w:rsidR="000168A7" w:rsidRPr="004A27F8" w:rsidP="0001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пунктам 1, 7 статьи </w:t>
      </w:r>
      <w:hyperlink r:id="rId13" w:tgtFrame="_blank" w:tooltip="Федеральный закон от 26.03.2003 N 35-ФЗ &gt; (ред. от 14.02.2024) &gt; " w:history="1">
        <w:r w:rsidRPr="004A2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27F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5 Закона </w:t>
      </w: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A27F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35-ФЗ </w:t>
      </w: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принципам противодействия терроризму в Российской Федерации отнесены обеспечение и защита основных прав и</w:t>
      </w: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 человека и гражданина, приоритет мер предупреждения терроризма. </w:t>
      </w:r>
    </w:p>
    <w:p w:rsidR="00FE5E4D" w:rsidRPr="004A27F8" w:rsidP="0001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противодействия терроризму является деятельность по его предупреждению, в том числе по выявлению и устранению причин и условий, способствующих совершению</w:t>
      </w: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террористических актов (пункт "а" части 4 статьи </w:t>
      </w:r>
      <w:hyperlink r:id="rId14" w:tgtFrame="_blank" w:tooltip="Федеральный закон от 26.03.2003 N 35-ФЗ &gt; (ред. от 14.02.2024) &gt; " w:history="1">
        <w:r w:rsidRPr="004A2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№ 35-ФЗ).</w:t>
      </w:r>
    </w:p>
    <w:p w:rsidR="00FE5E4D" w:rsidRPr="004A27F8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ч. 1 ст. </w:t>
      </w:r>
      <w:hyperlink r:id="rId15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4A2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 Кодекса Российской Федерац</w:t>
        </w:r>
        <w:r w:rsidRPr="004A2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ии об административных правонарушениях </w:t>
        </w:r>
      </w:hyperlink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является установленной государством мерой ответственности за совершение административного правонарушения и применяется в целях предупреждения совершения новых правонарушений как самим правон</w:t>
      </w: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арушителем , так и другими лицами.</w:t>
      </w:r>
    </w:p>
    <w:p w:rsidR="00FE5E4D" w:rsidRPr="004A27F8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рассматриваемом деле, объектом посягательства выступают общественные отношения в сфере безопасности населения, обеспечения жизни и здоровья граждан, игнорирование требований законодательства о противодействии терроризму</w:t>
      </w:r>
      <w:r w:rsidRPr="004A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влечет угрозу жизни и здоровья граждан, а также имуществу всех форм собственности. </w:t>
      </w:r>
    </w:p>
    <w:p w:rsidR="00FE5E4D" w:rsidRPr="00C851FC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Оснований для прекращения производства по делу в отношении </w:t>
      </w:r>
      <w:r w:rsidR="0059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Чеснокова А.А. </w:t>
      </w: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отсутствуют, как и нет снований для признания административного правонарушения малозначительным.</w:t>
      </w:r>
    </w:p>
    <w:p w:rsidR="00FE5E4D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должностному лицу </w:t>
      </w:r>
      <w:r w:rsidR="0059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Чеснокову А.А.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мировой судья учитывает характер совершенного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дминистративного правонарушения, личность виновного, то обстоятельство, что он ранее не привлекался к административной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</w:t>
      </w:r>
      <w:r w:rsidR="0059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аналогичное правонарушение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5E4D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FE5E4D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санкцию части 1 статьи </w:t>
      </w:r>
      <w:hyperlink r:id="rId1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35. Нарушение требований к антитеррористической защищенности объектов (территорий) и объектов (территорий" w:history="1">
        <w:r w:rsidRPr="00687D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20.</w:t>
        </w:r>
        <w:r w:rsidRPr="00687D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35 </w:t>
        </w:r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 Российской Федерации об административных правонарушениях,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687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назначения штрафа менее минимального размере отсутствуют.</w:t>
      </w:r>
    </w:p>
    <w:p w:rsidR="00FE5E4D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частью 1 статьи 20.35, статьями 29.9, 29.10 Кодекса Российской Федерации 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административных правонарушениях, мировой судья</w:t>
      </w:r>
    </w:p>
    <w:p w:rsidR="00FE5E4D" w:rsidP="00FE5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ПОСТАНОВИЛ:</w:t>
      </w:r>
    </w:p>
    <w:p w:rsidR="00FE5E4D" w:rsidRPr="00C851FC" w:rsidP="00FE5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5E4D" w:rsidRPr="00C851FC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 w:rsidR="0059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Чеснокова Алексея Александровича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правонарушения, предусмотренного частью 1 статьи 20.35 Кодекса Российской Федерации об административных правонар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ушениях и назначить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 в размере 30 000 (тридцать тысяч) рублей.</w:t>
      </w:r>
    </w:p>
    <w:p w:rsidR="00FE5E4D" w:rsidRPr="00C851FC" w:rsidP="00FE5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УФК по Ханты-Мансийскому автономному округу – Югре БИК 007162163 ОКТМО 71879000 ИНН 8601073664 КПП 860101001 КБК 72011601203019000140, идентификатор </w:t>
      </w:r>
      <w:r w:rsidRPr="004A27F8" w:rsidR="004A27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0412365400535004232520132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5E4D" w:rsidRPr="00C851FC" w:rsidP="00FE5E4D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="00634B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7" w:anchor="sub_322011" w:history="1">
        <w:r w:rsidRPr="005903D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59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anchor="sub_302013" w:history="1">
        <w:r w:rsidRPr="005903D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59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anchor="sub_322131" w:history="1">
        <w:r w:rsidRPr="005903D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59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7" w:anchor="sub_302014" w:history="1">
        <w:r w:rsidRPr="005903D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59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7" w:anchor="sub_315" w:history="1">
        <w:r w:rsidRPr="005903D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59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Pr="005903D8" w:rsidR="00634B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 ХМАО-Ю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гры.</w:t>
      </w:r>
    </w:p>
    <w:p w:rsidR="00FE5E4D" w:rsidRPr="00C851FC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ившего штраф, составляет протокол об административном правонарушении, предусмотренном частью 1 </w:t>
      </w:r>
      <w:hyperlink r:id="rId18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FE5E4D" w:rsidRPr="00C851FC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может быть обжаловано в Няганский городской суд Ханты-Мансийского автономного округа</w:t>
      </w:r>
      <w:r w:rsidR="0059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9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Югры через мирового судью судебного участка №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</w:t>
      </w:r>
      <w:r w:rsidR="0059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Югры либо непосредственно в суд, уполномоченный рассм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атривать жалобу, в течение 10 </w:t>
      </w:r>
      <w:r w:rsidR="00634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FE5E4D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5E4D" w:rsidRPr="00C851FC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5E4D" w:rsidRPr="00C851FC" w:rsidP="00FE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 Колосова</w:t>
      </w:r>
    </w:p>
    <w:p w:rsidR="005A42A0"/>
    <w:sectPr w:rsidSect="000168A7">
      <w:footerReference w:type="default" r:id="rId19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0168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35F">
          <w:rPr>
            <w:noProof/>
          </w:rPr>
          <w:t>7</w:t>
        </w:r>
        <w:r>
          <w:fldChar w:fldCharType="end"/>
        </w:r>
      </w:p>
    </w:sdtContent>
  </w:sdt>
  <w:p w:rsidR="000168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4D"/>
    <w:rsid w:val="000168A7"/>
    <w:rsid w:val="00107237"/>
    <w:rsid w:val="0011635F"/>
    <w:rsid w:val="00285F19"/>
    <w:rsid w:val="002B42BB"/>
    <w:rsid w:val="0031399A"/>
    <w:rsid w:val="003A1AE4"/>
    <w:rsid w:val="003B30D8"/>
    <w:rsid w:val="003B4221"/>
    <w:rsid w:val="003C7812"/>
    <w:rsid w:val="004A27F8"/>
    <w:rsid w:val="004B77A9"/>
    <w:rsid w:val="004C1765"/>
    <w:rsid w:val="004F12A7"/>
    <w:rsid w:val="00572A0F"/>
    <w:rsid w:val="005903D8"/>
    <w:rsid w:val="005A42A0"/>
    <w:rsid w:val="00634BE6"/>
    <w:rsid w:val="00687D10"/>
    <w:rsid w:val="00713DE7"/>
    <w:rsid w:val="007B4EB7"/>
    <w:rsid w:val="00803CE5"/>
    <w:rsid w:val="00894C50"/>
    <w:rsid w:val="009376E7"/>
    <w:rsid w:val="009A4FC2"/>
    <w:rsid w:val="00A2453A"/>
    <w:rsid w:val="00AA1BF6"/>
    <w:rsid w:val="00B84E5B"/>
    <w:rsid w:val="00BC684E"/>
    <w:rsid w:val="00C851FC"/>
    <w:rsid w:val="00C96792"/>
    <w:rsid w:val="00CA2191"/>
    <w:rsid w:val="00D01143"/>
    <w:rsid w:val="00D4443F"/>
    <w:rsid w:val="00D672B9"/>
    <w:rsid w:val="00DD3589"/>
    <w:rsid w:val="00DE5CD3"/>
    <w:rsid w:val="00E11567"/>
    <w:rsid w:val="00EC558F"/>
    <w:rsid w:val="00FE5CC8"/>
    <w:rsid w:val="00FE5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01F96-0DE8-45E7-9481-5668D70C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E4D"/>
    <w:rPr>
      <w:color w:val="0000FF"/>
      <w:u w:val="single"/>
    </w:rPr>
  </w:style>
  <w:style w:type="paragraph" w:styleId="NoSpacing">
    <w:name w:val="No Spacing"/>
    <w:uiPriority w:val="1"/>
    <w:qFormat/>
    <w:rsid w:val="00FE5E4D"/>
    <w:pPr>
      <w:spacing w:after="0" w:line="240" w:lineRule="auto"/>
    </w:pPr>
  </w:style>
  <w:style w:type="paragraph" w:styleId="Footer">
    <w:name w:val="footer"/>
    <w:basedOn w:val="Normal"/>
    <w:link w:val="a"/>
    <w:uiPriority w:val="99"/>
    <w:unhideWhenUsed/>
    <w:rsid w:val="00FE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E5E4D"/>
  </w:style>
  <w:style w:type="paragraph" w:styleId="BodyText">
    <w:name w:val="Body Text"/>
    <w:basedOn w:val="Normal"/>
    <w:link w:val="a0"/>
    <w:uiPriority w:val="99"/>
    <w:semiHidden/>
    <w:unhideWhenUsed/>
    <w:rsid w:val="00FE5E4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E5E4D"/>
  </w:style>
  <w:style w:type="paragraph" w:styleId="NormalWeb">
    <w:name w:val="Normal (Web)"/>
    <w:basedOn w:val="Normal"/>
    <w:uiPriority w:val="99"/>
    <w:semiHidden/>
    <w:unhideWhenUsed/>
    <w:rsid w:val="00EC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A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2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502272&amp;dst=8906&amp;field=134&amp;date=13.04.2025&amp;demo=2" TargetMode="External" /><Relationship Id="rId11" Type="http://schemas.openxmlformats.org/officeDocument/2006/relationships/hyperlink" Target="https://login.consultant.ru/link/?req=doc&amp;base=LAW&amp;n=502272&amp;dst=5118&amp;field=134&amp;date=13.04.2025&amp;demo=2" TargetMode="External" /><Relationship Id="rId12" Type="http://schemas.openxmlformats.org/officeDocument/2006/relationships/hyperlink" Target="https://login.consultant.ru/link/?req=doc&amp;base=LAW&amp;n=502272&amp;dst=3009&amp;field=134&amp;date=13.04.2025&amp;demo=2" TargetMode="External" /><Relationship Id="rId13" Type="http://schemas.openxmlformats.org/officeDocument/2006/relationships/hyperlink" Target="https://sudact.ru/law/federalnyi-zakon-ot-26032003-n-35-fz-ob/glava-1/statia-2/" TargetMode="External" /><Relationship Id="rId14" Type="http://schemas.openxmlformats.org/officeDocument/2006/relationships/hyperlink" Target="https://sudact.ru/law/federalnyi-zakon-ot-26032003-n-35-fz-ob/glava-1/statia-3/" TargetMode="External" /><Relationship Id="rId15" Type="http://schemas.openxmlformats.org/officeDocument/2006/relationships/hyperlink" Target="https://sudact.ru/law/koap/razdel-i/glava-3/statia-3.1/" TargetMode="External" /><Relationship Id="rId16" Type="http://schemas.openxmlformats.org/officeDocument/2006/relationships/hyperlink" Target="https://sudact.ru/law/koap/razdel-ii/glava-20/statia-20.35/" TargetMode="External" /><Relationship Id="rId17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18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2875&amp;date=13.04.2025&amp;demo=2" TargetMode="External" /><Relationship Id="rId5" Type="http://schemas.openxmlformats.org/officeDocument/2006/relationships/hyperlink" Target="https://login.consultant.ru/link/?req=doc&amp;base=LAW&amp;n=433436&amp;dst=368&amp;field=134&amp;date=13.04.2025&amp;demo=2" TargetMode="External" /><Relationship Id="rId6" Type="http://schemas.openxmlformats.org/officeDocument/2006/relationships/hyperlink" Target="https://login.consultant.ru/link/?req=doc&amp;base=LAW&amp;n=495182&amp;dst=100576&amp;field=134&amp;date=13.04.2025&amp;demo=2" TargetMode="External" /><Relationship Id="rId7" Type="http://schemas.openxmlformats.org/officeDocument/2006/relationships/hyperlink" Target="https://login.consultant.ru/link/?req=doc&amp;base=LAW&amp;n=495182&amp;dst=100577&amp;field=134&amp;date=13.04.2025&amp;demo=2" TargetMode="External" /><Relationship Id="rId8" Type="http://schemas.openxmlformats.org/officeDocument/2006/relationships/hyperlink" Target="https://login.consultant.ru/link/?req=doc&amp;base=LAW&amp;n=411035&amp;dst=100012&amp;field=134&amp;date=13.04.2025&amp;demo=2" TargetMode="External" /><Relationship Id="rId9" Type="http://schemas.openxmlformats.org/officeDocument/2006/relationships/hyperlink" Target="https://login.consultant.ru/link/?req=doc&amp;base=LAW&amp;n=347057&amp;date=13.04.2025&amp;demo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