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529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Александровича, родившегося 2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декларация НДС за 2 квартал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2 квартал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Декларация НДС за 2 квартал 2024 года представлена – 20.10.2024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25653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выписки из Единого государственного реестра юридических лиц; справкой об отсутствии декларации к установленному сроку от 26.0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04.02.2025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12.02.2025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0412365400655005292515165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518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D111-53C8-4708-8E69-8DFD7F73C9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